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B6A16" w14:textId="6B1358E8" w:rsidR="00A22737" w:rsidRPr="00174CCC" w:rsidRDefault="00DF69E4" w:rsidP="001F2BEB">
      <w:pPr>
        <w:spacing w:line="276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Warszawa, dn. 14</w:t>
      </w:r>
      <w:r w:rsidR="44F358B3" w:rsidRPr="44F358B3">
        <w:rPr>
          <w:rFonts w:ascii="Garamond" w:hAnsi="Garamond"/>
          <w:sz w:val="20"/>
          <w:szCs w:val="20"/>
        </w:rPr>
        <w:t>.09.2021 r.</w:t>
      </w:r>
    </w:p>
    <w:p w14:paraId="0651B3F9" w14:textId="77777777" w:rsidR="00A22737" w:rsidRPr="00174CCC" w:rsidRDefault="00A22737" w:rsidP="001F2BEB">
      <w:pPr>
        <w:spacing w:after="0" w:line="276" w:lineRule="auto"/>
        <w:rPr>
          <w:rFonts w:ascii="Garamond" w:hAnsi="Garamond"/>
          <w:sz w:val="20"/>
          <w:szCs w:val="20"/>
          <w:u w:val="single"/>
        </w:rPr>
      </w:pPr>
    </w:p>
    <w:p w14:paraId="2A34D583" w14:textId="77777777" w:rsidR="001F2BEB" w:rsidRDefault="001F2BEB" w:rsidP="001F2BEB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</w:pPr>
    </w:p>
    <w:p w14:paraId="0772132E" w14:textId="77777777" w:rsidR="00A22737" w:rsidRPr="00174CCC" w:rsidRDefault="00A22737" w:rsidP="001F2BEB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</w:pPr>
      <w:r w:rsidRPr="00174CC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Zamawiający: </w:t>
      </w:r>
    </w:p>
    <w:p w14:paraId="3E567645" w14:textId="77777777" w:rsidR="00A22737" w:rsidRPr="00174CCC" w:rsidRDefault="00A22737" w:rsidP="001F2BEB">
      <w:pPr>
        <w:spacing w:after="0" w:line="276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174CCC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Instytut Archeologii i Etnologii </w:t>
      </w:r>
    </w:p>
    <w:p w14:paraId="16041581" w14:textId="77777777" w:rsidR="00A22737" w:rsidRPr="00174CCC" w:rsidRDefault="00A22737" w:rsidP="001F2BEB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74CCC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Polskiej Akademii Nauk</w:t>
      </w:r>
    </w:p>
    <w:p w14:paraId="35B9A093" w14:textId="77777777" w:rsidR="00A22737" w:rsidRPr="00174CCC" w:rsidRDefault="00A22737" w:rsidP="001F2BEB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74CCC">
        <w:rPr>
          <w:rFonts w:ascii="Garamond" w:eastAsia="Times New Roman" w:hAnsi="Garamond" w:cs="Times New Roman"/>
          <w:sz w:val="20"/>
          <w:szCs w:val="20"/>
          <w:lang w:eastAsia="pl-PL"/>
        </w:rPr>
        <w:t>Al. Solidarności 105</w:t>
      </w:r>
    </w:p>
    <w:p w14:paraId="2D51EF69" w14:textId="77777777" w:rsidR="00A22737" w:rsidRPr="00174CCC" w:rsidRDefault="00A22737" w:rsidP="001F2BEB">
      <w:pPr>
        <w:spacing w:after="0"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74CCC">
        <w:rPr>
          <w:rFonts w:ascii="Garamond" w:eastAsia="Times New Roman" w:hAnsi="Garamond" w:cs="Times New Roman"/>
          <w:sz w:val="20"/>
          <w:szCs w:val="20"/>
          <w:lang w:eastAsia="pl-PL"/>
        </w:rPr>
        <w:t>00-140 Warszawa</w:t>
      </w:r>
    </w:p>
    <w:p w14:paraId="1BA22114" w14:textId="59C2E28A" w:rsidR="00CB47C4" w:rsidRDefault="00CB47C4" w:rsidP="001F2BEB">
      <w:pPr>
        <w:spacing w:line="276" w:lineRule="auto"/>
      </w:pPr>
    </w:p>
    <w:p w14:paraId="2479A5CC" w14:textId="69DA3888" w:rsidR="00A22737" w:rsidRDefault="00A22737" w:rsidP="001F2BEB">
      <w:pPr>
        <w:spacing w:line="276" w:lineRule="auto"/>
      </w:pPr>
    </w:p>
    <w:p w14:paraId="73B7A6CC" w14:textId="0B1B6A57" w:rsidR="00A22737" w:rsidRDefault="00A22737" w:rsidP="00DF69E4">
      <w:pPr>
        <w:spacing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A22737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Dot. postępowania na Dostawę </w:t>
      </w:r>
      <w:r w:rsidR="00DF69E4">
        <w:rPr>
          <w:rFonts w:ascii="Garamond" w:eastAsia="Times New Roman" w:hAnsi="Garamond" w:cs="Times New Roman"/>
          <w:sz w:val="20"/>
          <w:szCs w:val="20"/>
          <w:lang w:eastAsia="pl-PL"/>
        </w:rPr>
        <w:t>sprzętu komputerowego</w:t>
      </w:r>
      <w:r w:rsidRPr="00A22737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wraz z wyposażeniem</w:t>
      </w:r>
      <w:r w:rsidR="00DF69E4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i oprogramowaniem </w:t>
      </w:r>
      <w:r w:rsidR="00DF69E4">
        <w:rPr>
          <w:rFonts w:ascii="Garamond" w:eastAsia="Times New Roman" w:hAnsi="Garamond" w:cs="Times New Roman"/>
          <w:sz w:val="20"/>
          <w:szCs w:val="20"/>
          <w:lang w:eastAsia="pl-PL"/>
        </w:rPr>
        <w:br/>
        <w:t>nr ZP-5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/IAEPAN/21</w:t>
      </w:r>
    </w:p>
    <w:p w14:paraId="0F5EE21A" w14:textId="4614A5F6" w:rsidR="00A22737" w:rsidRDefault="00A22737" w:rsidP="001F2BEB">
      <w:pPr>
        <w:spacing w:line="276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A79F40C" w14:textId="1C3CACBE" w:rsidR="00A22737" w:rsidRDefault="00DF69E4" w:rsidP="001F2BEB">
      <w:pPr>
        <w:spacing w:line="276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W trybie art. 284</w:t>
      </w:r>
      <w:r w:rsidR="44F358B3" w:rsidRPr="44F358B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ust 1</w:t>
      </w:r>
      <w:r w:rsidR="007E628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ustawy z dnia 11 września 2019</w:t>
      </w:r>
      <w:bookmarkStart w:id="0" w:name="_GoBack"/>
      <w:bookmarkEnd w:id="0"/>
      <w:r w:rsidR="44F358B3" w:rsidRPr="44F358B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r. - Prawo zamówień publicznych (t.j. Dz. U z 2021 r., poz. 1129) Zamawiający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udziela wyjaśnień treści SWZ oraz w oparciu o art. 286 ust. 1 i 3</w:t>
      </w:r>
      <w:r w:rsidR="005F451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w/w ustawy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dokonuje zmiany treści SWZ oraz przedłuża termin składania ofert.</w:t>
      </w:r>
    </w:p>
    <w:p w14:paraId="19449AA3" w14:textId="5FFD1BF1" w:rsidR="00DF69E4" w:rsidRPr="00DF69E4" w:rsidRDefault="00592DC2" w:rsidP="001F2BEB">
      <w:pPr>
        <w:spacing w:line="276" w:lineRule="auto"/>
        <w:ind w:firstLine="708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Pytanie</w:t>
      </w:r>
      <w:r w:rsidR="00DF69E4" w:rsidRPr="00DF69E4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1</w:t>
      </w:r>
    </w:p>
    <w:p w14:paraId="46FA486F" w14:textId="77777777" w:rsidR="00DF69E4" w:rsidRDefault="00DF69E4" w:rsidP="00DF69E4">
      <w:pPr>
        <w:pStyle w:val="NormalnyWeb"/>
        <w:shd w:val="clear" w:color="auto" w:fill="FFFFFF"/>
        <w:rPr>
          <w:rFonts w:ascii="Garamond" w:hAnsi="Garamond" w:cs="Segoe UI"/>
          <w:color w:val="201F1E"/>
          <w:sz w:val="20"/>
          <w:szCs w:val="20"/>
        </w:rPr>
      </w:pPr>
      <w:r w:rsidRPr="00DF69E4">
        <w:rPr>
          <w:rFonts w:ascii="Garamond" w:hAnsi="Garamond" w:cs="Courier New"/>
          <w:color w:val="201F1E"/>
          <w:sz w:val="20"/>
          <w:szCs w:val="20"/>
        </w:rPr>
        <w:t>SWZ, VIII Opis kryteriów oceny ofert wraz z podaniem wag tych kryteriów i sposobu ich oceny</w:t>
      </w:r>
    </w:p>
    <w:p w14:paraId="0F2DA4E6" w14:textId="1196FE5D" w:rsidR="00DF69E4" w:rsidRDefault="00DF69E4" w:rsidP="00DF69E4">
      <w:pPr>
        <w:pStyle w:val="NormalnyWeb"/>
        <w:shd w:val="clear" w:color="auto" w:fill="FFFFFF"/>
        <w:rPr>
          <w:rFonts w:ascii="Garamond" w:hAnsi="Garamond" w:cs="Courier New"/>
          <w:color w:val="201F1E"/>
          <w:sz w:val="20"/>
          <w:szCs w:val="20"/>
        </w:rPr>
      </w:pPr>
      <w:r w:rsidRPr="00DF69E4">
        <w:rPr>
          <w:rFonts w:ascii="Garamond" w:hAnsi="Garamond" w:cs="Courier New"/>
          <w:color w:val="201F1E"/>
          <w:sz w:val="20"/>
          <w:szCs w:val="20"/>
        </w:rPr>
        <w:t>Jaki jest minimalny okres gwarancji : 12 miesięcy czy też 24 miesiące?</w:t>
      </w:r>
      <w:r>
        <w:rPr>
          <w:rFonts w:ascii="Garamond" w:hAnsi="Garamond" w:cs="Segoe UI"/>
          <w:color w:val="201F1E"/>
          <w:sz w:val="20"/>
          <w:szCs w:val="20"/>
        </w:rPr>
        <w:t xml:space="preserve"> </w:t>
      </w:r>
      <w:r w:rsidRPr="00DF69E4">
        <w:rPr>
          <w:rFonts w:ascii="Garamond" w:hAnsi="Garamond" w:cs="Courier New"/>
          <w:color w:val="201F1E"/>
          <w:sz w:val="20"/>
          <w:szCs w:val="20"/>
        </w:rPr>
        <w:t>Punkt 2) w/w rozdziału jest wewnętrznie sprzeczny  - zawiera obie wielkości.</w:t>
      </w:r>
    </w:p>
    <w:p w14:paraId="68A8F1CD" w14:textId="0A1BFB0D" w:rsidR="00DF69E4" w:rsidRDefault="00DF69E4" w:rsidP="00DF69E4">
      <w:pPr>
        <w:pStyle w:val="NormalnyWeb"/>
        <w:shd w:val="clear" w:color="auto" w:fill="FFFFFF"/>
        <w:rPr>
          <w:rFonts w:ascii="Garamond" w:hAnsi="Garamond" w:cs="Courier New"/>
          <w:color w:val="201F1E"/>
          <w:sz w:val="20"/>
          <w:szCs w:val="20"/>
        </w:rPr>
      </w:pPr>
      <w:r>
        <w:rPr>
          <w:rFonts w:ascii="Garamond" w:hAnsi="Garamond" w:cs="Courier New"/>
          <w:color w:val="201F1E"/>
          <w:sz w:val="20"/>
          <w:szCs w:val="20"/>
        </w:rPr>
        <w:tab/>
      </w:r>
      <w:r>
        <w:rPr>
          <w:rFonts w:ascii="Garamond" w:hAnsi="Garamond" w:cs="Courier New"/>
          <w:b/>
          <w:color w:val="201F1E"/>
          <w:sz w:val="20"/>
          <w:szCs w:val="20"/>
        </w:rPr>
        <w:t xml:space="preserve">Odpowiedź: </w:t>
      </w:r>
      <w:r>
        <w:rPr>
          <w:rFonts w:ascii="Garamond" w:hAnsi="Garamond" w:cs="Courier New"/>
          <w:color w:val="201F1E"/>
          <w:sz w:val="20"/>
          <w:szCs w:val="20"/>
        </w:rPr>
        <w:t>Zamawiający dokonuje zmiany treści specyfikacji warunków zamówienia w następujący sposób:</w:t>
      </w:r>
    </w:p>
    <w:p w14:paraId="6E7AE65B" w14:textId="5986C1C4" w:rsidR="00DF69E4" w:rsidRDefault="00DF69E4" w:rsidP="00DF69E4">
      <w:pPr>
        <w:pStyle w:val="NormalnyWeb"/>
        <w:shd w:val="clear" w:color="auto" w:fill="FFFFFF"/>
        <w:rPr>
          <w:rFonts w:ascii="Garamond" w:hAnsi="Garamond" w:cs="Segoe UI"/>
          <w:color w:val="201F1E"/>
          <w:sz w:val="20"/>
          <w:szCs w:val="20"/>
        </w:rPr>
      </w:pPr>
      <w:r>
        <w:rPr>
          <w:rFonts w:ascii="Garamond" w:hAnsi="Garamond" w:cs="Segoe UI"/>
          <w:color w:val="201F1E"/>
          <w:sz w:val="20"/>
          <w:szCs w:val="20"/>
        </w:rPr>
        <w:t>Rozdział VIII ust. 1 pkt 2 otrzymuje brzmienie:</w:t>
      </w:r>
    </w:p>
    <w:p w14:paraId="06113F8F" w14:textId="107E3226" w:rsidR="00DF69E4" w:rsidRPr="00F81F8F" w:rsidRDefault="00DF69E4" w:rsidP="00DF69E4">
      <w:pPr>
        <w:pStyle w:val="Akapitzlist"/>
        <w:spacing w:before="120" w:after="120" w:line="240" w:lineRule="auto"/>
        <w:ind w:left="0"/>
        <w:jc w:val="both"/>
        <w:rPr>
          <w:rFonts w:ascii="Garamond" w:hAnsi="Garamond"/>
          <w:b/>
          <w:bCs/>
          <w:color w:val="262626" w:themeColor="text1" w:themeTint="D9"/>
        </w:rPr>
      </w:pPr>
      <w:r>
        <w:rPr>
          <w:rFonts w:ascii="Garamond" w:hAnsi="Garamond"/>
          <w:b/>
          <w:bCs/>
          <w:color w:val="262626" w:themeColor="text1" w:themeTint="D9"/>
        </w:rPr>
        <w:t>„</w:t>
      </w:r>
      <w:r w:rsidRPr="00F81F8F">
        <w:rPr>
          <w:rFonts w:ascii="Garamond" w:hAnsi="Garamond"/>
          <w:b/>
          <w:bCs/>
          <w:color w:val="262626" w:themeColor="text1" w:themeTint="D9"/>
        </w:rPr>
        <w:t>Kryterium Okres gwarancji i rękojmi (G), waga – 20 %</w:t>
      </w:r>
    </w:p>
    <w:p w14:paraId="5EBFF5D0" w14:textId="77777777" w:rsidR="00DF69E4" w:rsidRPr="00F81F8F" w:rsidRDefault="00DF69E4" w:rsidP="00DF69E4">
      <w:pPr>
        <w:pStyle w:val="Akapitzlist"/>
        <w:spacing w:before="120" w:after="120"/>
        <w:ind w:left="0"/>
        <w:jc w:val="both"/>
        <w:rPr>
          <w:rFonts w:ascii="Garamond" w:hAnsi="Garamond"/>
          <w:b/>
          <w:bCs/>
          <w:color w:val="262626" w:themeColor="text1" w:themeTint="D9"/>
        </w:rPr>
      </w:pPr>
      <w:r w:rsidRPr="00F81F8F">
        <w:rPr>
          <w:rFonts w:ascii="Garamond" w:hAnsi="Garamond"/>
          <w:color w:val="262626" w:themeColor="text1" w:themeTint="D9"/>
        </w:rPr>
        <w:t xml:space="preserve">Kryterium to dotyczy zaoferowanego w Formularzu ofertowym okresu gwarancji i rękojmi na </w:t>
      </w:r>
      <w:r w:rsidRPr="00F81F8F">
        <w:rPr>
          <w:rFonts w:ascii="Garamond" w:hAnsi="Garamond"/>
          <w:b/>
          <w:bCs/>
          <w:color w:val="262626" w:themeColor="text1" w:themeTint="D9"/>
        </w:rPr>
        <w:t xml:space="preserve">tablet, komputery przenośne i smartfon. </w:t>
      </w:r>
    </w:p>
    <w:p w14:paraId="0546147E" w14:textId="77777777" w:rsidR="00DF69E4" w:rsidRPr="00F81F8F" w:rsidRDefault="00DF69E4" w:rsidP="00DF69E4">
      <w:pPr>
        <w:pStyle w:val="Akapitzlist"/>
        <w:spacing w:before="120" w:after="120"/>
        <w:ind w:left="0"/>
        <w:jc w:val="both"/>
        <w:rPr>
          <w:rFonts w:ascii="Garamond" w:hAnsi="Garamond"/>
          <w:color w:val="262626" w:themeColor="text1" w:themeTint="D9"/>
        </w:rPr>
      </w:pPr>
      <w:r w:rsidRPr="00F81F8F">
        <w:rPr>
          <w:rFonts w:ascii="Garamond" w:hAnsi="Garamond"/>
          <w:color w:val="262626" w:themeColor="text1" w:themeTint="D9"/>
        </w:rPr>
        <w:t xml:space="preserve">Minimalny okres gwarancji i rękojmi wynosi </w:t>
      </w:r>
      <w:r w:rsidRPr="00F81F8F">
        <w:rPr>
          <w:rFonts w:ascii="Garamond" w:hAnsi="Garamond"/>
          <w:b/>
          <w:bCs/>
          <w:color w:val="262626" w:themeColor="text1" w:themeTint="D9"/>
        </w:rPr>
        <w:t>24 miesiące</w:t>
      </w:r>
      <w:r w:rsidRPr="00F81F8F">
        <w:rPr>
          <w:rFonts w:ascii="Garamond" w:hAnsi="Garamond"/>
          <w:color w:val="262626" w:themeColor="text1" w:themeTint="D9"/>
        </w:rPr>
        <w:t xml:space="preserve">, zaś maksymalny okres gwarancji i rękojmi wynosi </w:t>
      </w:r>
      <w:r w:rsidRPr="00F81F8F">
        <w:rPr>
          <w:rFonts w:ascii="Garamond" w:hAnsi="Garamond"/>
          <w:b/>
          <w:bCs/>
          <w:color w:val="262626" w:themeColor="text1" w:themeTint="D9"/>
        </w:rPr>
        <w:t>60 miesięcy</w:t>
      </w:r>
      <w:r w:rsidRPr="00F81F8F">
        <w:rPr>
          <w:rFonts w:ascii="Garamond" w:hAnsi="Garamond"/>
          <w:color w:val="262626" w:themeColor="text1" w:themeTint="D9"/>
        </w:rPr>
        <w:t xml:space="preserve">, licząc od dnia podpisania protokołu odbioru sprzętu. </w:t>
      </w:r>
    </w:p>
    <w:p w14:paraId="6C8CD6C6" w14:textId="77777777" w:rsidR="00DF69E4" w:rsidRPr="00F81F8F" w:rsidRDefault="00DF69E4" w:rsidP="00DF69E4">
      <w:pPr>
        <w:pStyle w:val="Akapitzlist"/>
        <w:spacing w:before="120" w:after="120"/>
        <w:ind w:left="0"/>
        <w:jc w:val="both"/>
        <w:rPr>
          <w:rFonts w:ascii="Garamond" w:hAnsi="Garamond"/>
          <w:color w:val="262626" w:themeColor="text1" w:themeTint="D9"/>
        </w:rPr>
      </w:pPr>
      <w:r w:rsidRPr="00F81F8F">
        <w:rPr>
          <w:rFonts w:ascii="Garamond" w:hAnsi="Garamond"/>
          <w:color w:val="262626" w:themeColor="text1" w:themeTint="D9"/>
        </w:rPr>
        <w:t xml:space="preserve">Wykonawca może zaoferować dłuższy okres gwarancji i rękojmi. W tym celu w Formularzu ofertowym wskazuje oferowany okres gwarancji i rękojmi - </w:t>
      </w:r>
      <w:r w:rsidRPr="00F81F8F">
        <w:rPr>
          <w:rFonts w:ascii="Garamond" w:hAnsi="Garamond"/>
          <w:color w:val="262626" w:themeColor="text1" w:themeTint="D9"/>
          <w:u w:val="single"/>
        </w:rPr>
        <w:t>w miesiącach</w:t>
      </w:r>
      <w:r w:rsidRPr="00F81F8F">
        <w:rPr>
          <w:rFonts w:ascii="Garamond" w:hAnsi="Garamond"/>
          <w:color w:val="262626" w:themeColor="text1" w:themeTint="D9"/>
        </w:rPr>
        <w:t xml:space="preserve">. </w:t>
      </w:r>
    </w:p>
    <w:p w14:paraId="72186230" w14:textId="0F64B4AB" w:rsidR="00DF69E4" w:rsidRPr="00F81F8F" w:rsidRDefault="00DF69E4" w:rsidP="00DF69E4">
      <w:pPr>
        <w:pStyle w:val="Akapitzlist"/>
        <w:spacing w:before="120" w:after="120"/>
        <w:ind w:left="0"/>
        <w:jc w:val="both"/>
        <w:rPr>
          <w:rFonts w:ascii="Garamond" w:hAnsi="Garamond"/>
          <w:color w:val="262626" w:themeColor="text1" w:themeTint="D9"/>
        </w:rPr>
      </w:pPr>
      <w:r w:rsidRPr="00F81F8F">
        <w:rPr>
          <w:rFonts w:ascii="Garamond" w:hAnsi="Garamond"/>
          <w:color w:val="262626" w:themeColor="text1" w:themeTint="D9"/>
        </w:rPr>
        <w:t xml:space="preserve">W przypadku, gdy Wykonawca nie określi w Formularzu ofertowym oferowanego okresu gwarancji </w:t>
      </w:r>
      <w:r w:rsidRPr="00F81F8F">
        <w:rPr>
          <w:rFonts w:ascii="Garamond" w:hAnsi="Garamond"/>
          <w:color w:val="262626" w:themeColor="text1" w:themeTint="D9"/>
        </w:rPr>
        <w:br/>
        <w:t>i rękojmi, to Zamawiający przyjmie, że Wykona</w:t>
      </w:r>
      <w:r>
        <w:rPr>
          <w:rFonts w:ascii="Garamond" w:hAnsi="Garamond"/>
          <w:color w:val="262626" w:themeColor="text1" w:themeTint="D9"/>
        </w:rPr>
        <w:t>wca oferuje minimalny okres – 24 miesiące</w:t>
      </w:r>
      <w:r w:rsidRPr="00F81F8F">
        <w:rPr>
          <w:rFonts w:ascii="Garamond" w:hAnsi="Garamond"/>
          <w:color w:val="262626" w:themeColor="text1" w:themeTint="D9"/>
        </w:rPr>
        <w:t xml:space="preserve"> i taki zostanie wpisany do umowy. </w:t>
      </w:r>
    </w:p>
    <w:p w14:paraId="2C7BB9CF" w14:textId="77777777" w:rsidR="00DF69E4" w:rsidRPr="00F81F8F" w:rsidRDefault="00DF69E4" w:rsidP="00DF69E4">
      <w:pPr>
        <w:pStyle w:val="Akapitzlist"/>
        <w:spacing w:before="120" w:after="120"/>
        <w:ind w:left="0"/>
        <w:jc w:val="both"/>
        <w:rPr>
          <w:rFonts w:ascii="Garamond" w:hAnsi="Garamond"/>
          <w:color w:val="262626" w:themeColor="text1" w:themeTint="D9"/>
        </w:rPr>
      </w:pPr>
      <w:r w:rsidRPr="00F81F8F">
        <w:rPr>
          <w:rFonts w:ascii="Garamond" w:hAnsi="Garamond"/>
          <w:color w:val="262626" w:themeColor="text1" w:themeTint="D9"/>
        </w:rPr>
        <w:t xml:space="preserve">W przypadku, gdy Wykonawca określi w Formularzu ofertowym dłuższy niż 60 miesięczny okres gwarancji i rękojmi, to Zamawiający przyjmie do oceny okres 60 miesięczny i taki zostanie wpisany do umowy. </w:t>
      </w:r>
    </w:p>
    <w:p w14:paraId="2194031B" w14:textId="1DA2D4ED" w:rsidR="00DF69E4" w:rsidRPr="00F81F8F" w:rsidRDefault="00DF69E4" w:rsidP="00DF69E4">
      <w:pPr>
        <w:spacing w:before="120" w:after="120"/>
        <w:jc w:val="both"/>
        <w:rPr>
          <w:rFonts w:ascii="Garamond" w:hAnsi="Garamond"/>
          <w:color w:val="262626" w:themeColor="text1" w:themeTint="D9"/>
        </w:rPr>
      </w:pPr>
      <w:r w:rsidRPr="00F81F8F">
        <w:rPr>
          <w:rFonts w:ascii="Garamond" w:hAnsi="Garamond"/>
          <w:color w:val="262626" w:themeColor="text1" w:themeTint="D9"/>
        </w:rPr>
        <w:t>W przypadku, gdy Wykonawca określi w For</w:t>
      </w:r>
      <w:r>
        <w:rPr>
          <w:rFonts w:ascii="Garamond" w:hAnsi="Garamond"/>
          <w:color w:val="262626" w:themeColor="text1" w:themeTint="D9"/>
        </w:rPr>
        <w:t>mularzu ofertowym krótszy niż 24 miesiące</w:t>
      </w:r>
      <w:r w:rsidRPr="00F81F8F">
        <w:rPr>
          <w:rFonts w:ascii="Garamond" w:hAnsi="Garamond"/>
          <w:color w:val="262626" w:themeColor="text1" w:themeTint="D9"/>
        </w:rPr>
        <w:t xml:space="preserve"> okres gwarancji i rękojmi, to Zamawiający uzna ofertę za niezgodną z warunkami zamówienia i dokona jej odrzucenia.</w:t>
      </w:r>
    </w:p>
    <w:p w14:paraId="4647F288" w14:textId="77777777" w:rsidR="00DF69E4" w:rsidRPr="00F81F8F" w:rsidRDefault="00DF69E4" w:rsidP="00DF69E4">
      <w:pPr>
        <w:pStyle w:val="Akapitzlist"/>
        <w:spacing w:before="120" w:after="120"/>
        <w:ind w:left="0"/>
        <w:jc w:val="both"/>
        <w:rPr>
          <w:rFonts w:ascii="Garamond" w:hAnsi="Garamond"/>
          <w:color w:val="262626" w:themeColor="text1" w:themeTint="D9"/>
        </w:rPr>
      </w:pPr>
      <w:r w:rsidRPr="00F81F8F">
        <w:rPr>
          <w:rFonts w:ascii="Garamond" w:hAnsi="Garamond"/>
          <w:color w:val="262626" w:themeColor="text1" w:themeTint="D9"/>
        </w:rPr>
        <w:t>Liczba punktów za okres gwarancji i rękojmi będzie wyliczana w następujący sposób:</w:t>
      </w:r>
    </w:p>
    <w:p w14:paraId="51302F6F" w14:textId="77777777" w:rsidR="00DF69E4" w:rsidRPr="00F81F8F" w:rsidRDefault="00DF69E4" w:rsidP="00DF69E4">
      <w:pPr>
        <w:spacing w:before="120" w:after="120"/>
        <w:ind w:left="348"/>
        <w:jc w:val="both"/>
        <w:rPr>
          <w:rFonts w:ascii="Garamond" w:hAnsi="Garamond"/>
        </w:rPr>
      </w:pPr>
    </w:p>
    <w:p w14:paraId="4098A1F8" w14:textId="77777777" w:rsidR="00DF69E4" w:rsidRPr="00F81F8F" w:rsidRDefault="00DF69E4" w:rsidP="00DF69E4">
      <w:pPr>
        <w:spacing w:before="120" w:after="120"/>
        <w:ind w:left="348"/>
        <w:jc w:val="both"/>
        <w:rPr>
          <w:rFonts w:ascii="Garamond" w:hAnsi="Garamond"/>
        </w:rPr>
      </w:pPr>
      <w:r w:rsidRPr="00F81F8F">
        <w:rPr>
          <w:rFonts w:ascii="Garamond" w:hAnsi="Garamond"/>
        </w:rPr>
        <w:t>Liczba                   okres gwarancji  zaoferowany w badanej ofercie</w:t>
      </w:r>
    </w:p>
    <w:p w14:paraId="3A8A8F78" w14:textId="2AB7D3D4" w:rsidR="00DF69E4" w:rsidRPr="00F81F8F" w:rsidRDefault="00DF69E4" w:rsidP="00DF69E4">
      <w:pPr>
        <w:spacing w:before="120" w:after="120"/>
        <w:ind w:left="348"/>
        <w:jc w:val="both"/>
        <w:rPr>
          <w:rFonts w:ascii="Garamond" w:hAnsi="Garamond"/>
        </w:rPr>
      </w:pPr>
      <w:r w:rsidRPr="00F81F8F">
        <w:rPr>
          <w:rFonts w:ascii="Garamond" w:hAnsi="Garamond"/>
        </w:rPr>
        <w:t>zdobytych (G) =  -------------------------------------------------------------- x waga kryterium</w:t>
      </w:r>
      <w:r>
        <w:rPr>
          <w:rFonts w:ascii="Garamond" w:hAnsi="Garamond"/>
        </w:rPr>
        <w:t>”</w:t>
      </w:r>
    </w:p>
    <w:p w14:paraId="70AEC967" w14:textId="77777777" w:rsidR="00DF69E4" w:rsidRPr="00F81F8F" w:rsidRDefault="00DF69E4" w:rsidP="00DF69E4">
      <w:pPr>
        <w:spacing w:before="120" w:after="120"/>
        <w:ind w:left="348"/>
        <w:jc w:val="both"/>
        <w:rPr>
          <w:rFonts w:ascii="Garamond" w:hAnsi="Garamond"/>
        </w:rPr>
      </w:pPr>
      <w:r w:rsidRPr="00F81F8F">
        <w:rPr>
          <w:rFonts w:ascii="Garamond" w:hAnsi="Garamond"/>
        </w:rPr>
        <w:t>punktów                     najdłuższy zaoferowany okres gwarancji</w:t>
      </w:r>
    </w:p>
    <w:p w14:paraId="4FEA517F" w14:textId="5A046325" w:rsidR="00DF69E4" w:rsidRPr="005F4516" w:rsidRDefault="00DF69E4" w:rsidP="00DF69E4">
      <w:pPr>
        <w:pStyle w:val="NormalnyWeb"/>
        <w:shd w:val="clear" w:color="auto" w:fill="FFFFFF"/>
        <w:rPr>
          <w:rFonts w:ascii="Garamond" w:hAnsi="Garamond" w:cs="Segoe UI"/>
          <w:color w:val="201F1E"/>
          <w:sz w:val="20"/>
          <w:szCs w:val="20"/>
        </w:rPr>
      </w:pPr>
      <w:r w:rsidRPr="005F4516">
        <w:rPr>
          <w:rFonts w:ascii="Garamond" w:hAnsi="Garamond" w:cs="Segoe UI"/>
          <w:color w:val="201F1E"/>
          <w:sz w:val="20"/>
          <w:szCs w:val="20"/>
        </w:rPr>
        <w:lastRenderedPageBreak/>
        <w:t>Rozdział IX ust. 4 otrzymuje brzmienie:</w:t>
      </w:r>
    </w:p>
    <w:p w14:paraId="755C6B57" w14:textId="6946355E" w:rsidR="00DF69E4" w:rsidRPr="005F4516" w:rsidRDefault="00DF69E4" w:rsidP="00DF69E4">
      <w:pPr>
        <w:widowControl w:val="0"/>
        <w:shd w:val="clear" w:color="auto" w:fill="FFFFFF" w:themeFill="background1"/>
        <w:tabs>
          <w:tab w:val="num" w:pos="106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EB Garamond"/>
          <w:b/>
          <w:bCs/>
          <w:color w:val="000000"/>
          <w:sz w:val="20"/>
          <w:szCs w:val="20"/>
        </w:rPr>
      </w:pPr>
      <w:r w:rsidRPr="005F4516">
        <w:rPr>
          <w:rFonts w:ascii="Garamond" w:hAnsi="Garamond" w:cs="EB Garamond"/>
          <w:b/>
          <w:bCs/>
          <w:color w:val="000000" w:themeColor="text1"/>
          <w:sz w:val="20"/>
          <w:szCs w:val="20"/>
        </w:rPr>
        <w:t>„Ofertę należy złożyć w terminie</w:t>
      </w:r>
      <w:r w:rsidRPr="005F4516">
        <w:rPr>
          <w:rFonts w:ascii="Garamond" w:hAnsi="Garamond" w:cs="EB Garamond"/>
          <w:color w:val="000000" w:themeColor="text1"/>
          <w:sz w:val="20"/>
          <w:szCs w:val="20"/>
        </w:rPr>
        <w:t xml:space="preserve"> </w:t>
      </w:r>
      <w:r w:rsidRPr="005F4516">
        <w:rPr>
          <w:rFonts w:ascii="Garamond" w:hAnsi="Garamond" w:cs="EB Garamond"/>
          <w:b/>
          <w:bCs/>
          <w:color w:val="000000" w:themeColor="text1"/>
          <w:sz w:val="20"/>
          <w:szCs w:val="20"/>
        </w:rPr>
        <w:t xml:space="preserve">do dnia: </w:t>
      </w:r>
      <w:r w:rsidRPr="005F4516">
        <w:rPr>
          <w:rFonts w:ascii="Garamond" w:hAnsi="Garamond" w:cs="EB Garamond"/>
          <w:b/>
          <w:bCs/>
          <w:color w:val="000000" w:themeColor="text1"/>
          <w:sz w:val="20"/>
          <w:szCs w:val="20"/>
          <w:u w:val="single"/>
        </w:rPr>
        <w:t>20.09.2021 r. do godz. 11:00”</w:t>
      </w:r>
    </w:p>
    <w:p w14:paraId="21C462DB" w14:textId="007614E2" w:rsidR="00DF69E4" w:rsidRPr="005F4516" w:rsidRDefault="00DF69E4" w:rsidP="00DF69E4">
      <w:pPr>
        <w:pStyle w:val="NormalnyWeb"/>
        <w:shd w:val="clear" w:color="auto" w:fill="FFFFFF"/>
        <w:rPr>
          <w:rFonts w:ascii="Garamond" w:hAnsi="Garamond" w:cs="Segoe UI"/>
          <w:color w:val="201F1E"/>
          <w:sz w:val="20"/>
          <w:szCs w:val="20"/>
        </w:rPr>
      </w:pPr>
      <w:r w:rsidRPr="005F4516">
        <w:rPr>
          <w:rFonts w:ascii="Garamond" w:hAnsi="Garamond" w:cs="Segoe UI"/>
          <w:color w:val="201F1E"/>
          <w:sz w:val="20"/>
          <w:szCs w:val="20"/>
        </w:rPr>
        <w:t>Rozdział IX ust. 12 otrzymuje brzmienie:</w:t>
      </w:r>
    </w:p>
    <w:p w14:paraId="4D0BC445" w14:textId="1EB872D7" w:rsidR="00DF69E4" w:rsidRPr="005F4516" w:rsidRDefault="005F4516" w:rsidP="005F4516">
      <w:pPr>
        <w:pStyle w:val="NormalnyWeb"/>
        <w:shd w:val="clear" w:color="auto" w:fill="FFFFFF"/>
        <w:jc w:val="both"/>
        <w:rPr>
          <w:rFonts w:ascii="Garamond" w:hAnsi="Garamond" w:cs="Segoe UI"/>
          <w:color w:val="201F1E"/>
          <w:sz w:val="20"/>
          <w:szCs w:val="20"/>
        </w:rPr>
      </w:pPr>
      <w:r w:rsidRPr="005F4516">
        <w:rPr>
          <w:rFonts w:ascii="Garamond" w:hAnsi="Garamond" w:cs="EB Garamond"/>
          <w:color w:val="000000" w:themeColor="text1"/>
          <w:sz w:val="20"/>
          <w:szCs w:val="20"/>
        </w:rPr>
        <w:t xml:space="preserve">Wykonawca jest związany ofertą przez okres </w:t>
      </w:r>
      <w:r w:rsidRPr="005F4516">
        <w:rPr>
          <w:rFonts w:ascii="Garamond" w:hAnsi="Garamond" w:cs="EB Garamond"/>
          <w:b/>
          <w:bCs/>
          <w:color w:val="000000" w:themeColor="text1"/>
          <w:sz w:val="20"/>
          <w:szCs w:val="20"/>
        </w:rPr>
        <w:t>30 dni</w:t>
      </w:r>
      <w:r w:rsidRPr="005F4516">
        <w:rPr>
          <w:rFonts w:ascii="Garamond" w:hAnsi="Garamond" w:cs="EB Garamond"/>
          <w:color w:val="000000" w:themeColor="text1"/>
          <w:sz w:val="20"/>
          <w:szCs w:val="20"/>
        </w:rPr>
        <w:t xml:space="preserve"> licząc od dnia upływu terminu składania ofert, tj. </w:t>
      </w:r>
      <w:r w:rsidRPr="005F4516">
        <w:rPr>
          <w:rFonts w:ascii="Garamond" w:hAnsi="Garamond" w:cs="EB Garamond"/>
          <w:b/>
          <w:bCs/>
          <w:color w:val="000000" w:themeColor="text1"/>
          <w:sz w:val="20"/>
          <w:szCs w:val="20"/>
        </w:rPr>
        <w:t>do dnia 19.10.2021 r.</w:t>
      </w:r>
    </w:p>
    <w:p w14:paraId="60B016E8" w14:textId="77777777" w:rsidR="00DF69E4" w:rsidRDefault="00DF69E4" w:rsidP="001F2BEB">
      <w:pPr>
        <w:spacing w:line="276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746425D" w14:textId="2D6C9D90" w:rsidR="00A22737" w:rsidRDefault="00A22737" w:rsidP="00A22737">
      <w:pPr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3E6C5173" w14:textId="5C7D8AC8" w:rsidR="00A22737" w:rsidRPr="00A22737" w:rsidRDefault="00A22737" w:rsidP="00A22737">
      <w:pPr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7420AF9" w14:textId="77777777" w:rsidR="00A22737" w:rsidRDefault="00A22737"/>
    <w:sectPr w:rsidR="00A2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CB5691"/>
    <w:multiLevelType w:val="hybridMultilevel"/>
    <w:tmpl w:val="979E0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D21FB"/>
    <w:multiLevelType w:val="hybridMultilevel"/>
    <w:tmpl w:val="6660FB94"/>
    <w:lvl w:ilvl="0" w:tplc="0E3A04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37"/>
    <w:rsid w:val="001F2BEB"/>
    <w:rsid w:val="00592DC2"/>
    <w:rsid w:val="005F4516"/>
    <w:rsid w:val="007E628D"/>
    <w:rsid w:val="00A22737"/>
    <w:rsid w:val="00CB47C4"/>
    <w:rsid w:val="00DF69E4"/>
    <w:rsid w:val="00F27657"/>
    <w:rsid w:val="44F3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4239"/>
  <w15:chartTrackingRefBased/>
  <w15:docId w15:val="{563614F6-1DEE-0740-8C3A-2E92F125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73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,List Paragraph"/>
    <w:basedOn w:val="Normalny"/>
    <w:link w:val="AkapitzlistZnak"/>
    <w:uiPriority w:val="34"/>
    <w:qFormat/>
    <w:rsid w:val="00A2273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qFormat/>
    <w:locked/>
    <w:rsid w:val="00DF69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user</cp:lastModifiedBy>
  <cp:revision>6</cp:revision>
  <dcterms:created xsi:type="dcterms:W3CDTF">2021-09-14T09:51:00Z</dcterms:created>
  <dcterms:modified xsi:type="dcterms:W3CDTF">2021-09-14T10:16:00Z</dcterms:modified>
</cp:coreProperties>
</file>